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F3 24 8 vom 18. Dezember 2025</w:t>
      </w:r>
    </w:p>
    <w:p>
      <w:r>
        <w:t>VS Kantonsgericht, 2025-12-18, FR</w:t>
      </w:r>
    </w:p>
    <w:p>
      <w:r>
        <w:rPr>
          <w:b/>
        </w:rPr>
        <w:t xml:space="preserve">Quelle: </w:t>
      </w:r>
      <w:r>
        <w:t>https://mcp.opencaselaw.ch/entscheid/vs_gerichte_F3 24 8</w:t>
      </w:r>
    </w:p>
    <w:p>
      <w:r>
        <w:t>FR: VS_GERICHTE F3 24 8 du 18 décembre 2025</w:t>
      </w:r>
    </w:p>
    <w:p>
      <w:r>
        <w:t>IT: VS_GERICHTE F3 24 8 del 18 dicembre 2025</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Il lui appartient par conséquent de statuer sur le recours du 28 juillet 2023, celui-ci n’ayant pas été tranché au 31 décembre 2023 par la CCR.</w:t>
      </w:r>
    </w:p>
    <w:p>
      <w:r>
        <w:rPr>
          <w:b/>
        </w:rPr>
        <w:t>E. 1.2</w:t>
      </w:r>
    </w:p>
    <w:p>
      <w:r>
        <w:t>Le recours porte tant sur l’IFD que sur l’ICC et peut être traité dans un seul arrêt (cf. ATF 142 II 293 consid. 1.2). Il a été formé régulièrement (art. 140 ss LIFD par renvoi de l’art. 182 al. 3 LIFD ; art. 57bis al. 2 LHID et art. 50 al. 1 LHID par renvoi de l’art. 57bis al.</w:t>
      </w:r>
    </w:p>
    <w:p>
      <w:r>
        <w:rPr>
          <w:b/>
        </w:rPr>
        <w:t>E. 1.3</w:t>
      </w:r>
    </w:p>
    <w:p>
      <w:r>
        <w:t>La décision sur réclamation délimite le cadre matériel admissible de l’objet du litige (ATF 144 II 359 consid. 4.3; ZWEIFEL/BEUSCH/HUNZIKER/SEILER, Schweizerisches Steuerverfahrensrecht, 3ème éd., 2024, n° 19 ad § 39). Celle en cause confirme la condamnation du recourant pour une tentative de soustraction fiscale commise au regard de la période fiscale 2016 ainsi que le montant des amendes prononcées à son encontre. En soutenant que le SCC aurait violé son devoir de bonne foi, de perception régulière d’impôts, de célérité et de sécurité du droit, alors qu’il avait connaissance de sa déclaration d’impôt 2016 dès le 2 août 2018, c’est en réalité à la décision de taxation du 14 juillet 2022 que le recourant tente de s’en prendre. Ses critiques s’avèrent ainsi étrangères à la contestation et sont, partant, irrecevables. II. Prescription 2. La prescription ou la péremption sont des questions de droit matériel qui doivent être examinées d’office lorsqu’elles jouent en faveur du contribuable et qu’elles se fondent sur le droit fédéral (ATF 138 II 169 consid. 3.2 ; arrêts du Tribunal fédéral 2C_81/2022, 2C_102/2022 du 25 novembre 2022 consid. 6 et 2C_872/2021 du 2 août 2022 consid. 4).</w:t>
      </w:r>
    </w:p>
    <w:p>
      <w:r>
        <w:t>- 12 - 2.1 En matière d’IFD, l’art. 184 al. 1 let. a LIFD, dans sa teneur en vigueur depuis le 1er janvier 2017, prévoit notamment qu’en cas de tentative de soustraction d’impôt, la poursuite pénale se prescrit par six ans à compter de la clôture définitive de la procédure au cours de laquelle la tentative de soustraction a été commise. Sous l’ancien droit, le délai de prescription était de huit ans (cf. art. 184 al. 1 let. a LIFD dans sa version en vigueur jusqu’au 31 décembre 2016 cum art. 333 al. 6 let. b CP). S’agissant de la prescription de la poursuite pénale pour tentative de soustraction d’impôt en matière d’ICC, l’art. 58 al. 1 LHID, dans sa teneur en vigueur depuis le 1er janvier 2017, a une teneur identique à l’art. 184 al. 1 let. a LIFD. Le droit cantonal a été adapté en conséquence, l’actuel art. 210 al.1 LF disposant que la poursuite pénale en cas de tentative de soustraction se prescrit par six ans. Avant le 1er janvier 2017, le délai de prescription pour les ICC (art. 210 al. 1 let. a aLF et 58 al.1 let. a aLHID) était également le même que pour l’IFD (huit ans) et courait à partir de la clôture définitive de la procédure au cours de laquelle la tentative de soustraction avait été commise. En vertu des art. 205f LIFD et 78f LHID, le nouveau droit est applicable au jugement des infractions commises au cours des périodes fiscales précédant le 1er janvier 2017 s’il est plus favorable que le droit en vigueur au cours de ces périodes fiscales. 2.2 En l’occurrence, la décision de taxation définitive relative à la période fiscale 2016 a été rendue le 14 juillet 2022, de sorte qu’elle est, au plus tôt, devenue définitive à l’issue du délai de recours de trente jours ayant couru à compter de sa notification. La prescription de la tentative de soustraction litigieuse, qui a commencé à courir dès cette date, n’est ainsi acquise ni sous l’ancien, ni sous le nouveau droit, ce qui n’est pas remis en cause pas le recourant. III. Impôt fédéral direct</w:t>
      </w:r>
    </w:p>
    <w:p>
      <w:r>
        <w:rPr>
          <w:b/>
        </w:rPr>
        <w:t>E. 3</w:t>
      </w:r>
    </w:p>
    <w:p>
      <w:r>
        <w:t>Le litige porte sur le bien-fondé de la condamnation du recourant pour tentative de soustraction fiscale pour l’année fiscale 2016.</w:t>
      </w:r>
    </w:p>
    <w:p>
      <w:r>
        <w:rPr>
          <w:b/>
        </w:rPr>
        <w:t>E. 3.1</w:t>
      </w:r>
    </w:p>
    <w:p>
      <w:r>
        <w:t>Selon l’art. 176 al. 1 LIFD, celui qui tente de se soustraire à l’impôt sera puni d’une amende (al. 1). La tentative de soustraction (art. 176 LIFD) se situe entre les actes préparatoires d’une soustraction, qui ne sont pas punissables, et la soustraction consommée (art. 175 LIFD), qui l’est.</w:t>
      </w:r>
    </w:p>
    <w:p>
      <w:r>
        <w:rPr>
          <w:b/>
        </w:rPr>
        <w:t>E. 3.1.1</w:t>
      </w:r>
    </w:p>
    <w:p>
      <w:r>
        <w:t>Le comportement illicite réprimé correspond, sur le plan objectif, à celui de la soustraction fiscale au sens de l’art. 175 LIFD. Dans la procédure de taxation, il suffit que le contribuable donne à l’autorité fiscale des renseignements inexacts, en particulier</w:t>
      </w:r>
    </w:p>
    <w:p>
      <w:r>
        <w:t>- 13 - en fournissant une déclaration d’impôt incomplète n’étant pas conforme à la vérité au sens de l’art. 124 al. 2 LIFD. S’il n’est pas sûr de la signification fiscale d’un fait, le contribuable ne peut pas simplement le passer sous silence, mais doit signaler l’incertitude. En tout état de cause, il doit exposer le fait en tant que tel de manière complète et exacte (arrêts du Tribunal fédéral 9C_578/2023 du 27 novembre 2023 consid. 11.2.1, 2C_149/2022 du 13 octobre 2022 consid. 6.1.1). Pour qu’il y ait tentative, l’autorité de taxation doit découvrir que les renseignements fournis sont inexacts avant que la décision de taxation ne soit entrée en force, car, ensuite, la soustraction est consommée (arrêt du Tribunal fédéral 2C_81/2022, 2C_102/2022 du 25 novembre 2022 consid. 10.1 et les références citées).</w:t>
      </w:r>
    </w:p>
    <w:p>
      <w:r>
        <w:rPr>
          <w:b/>
        </w:rPr>
        <w:t>E. 3.1.2</w:t>
      </w:r>
    </w:p>
    <w:p>
      <w:r>
        <w:t>Sur le plan subjectif, la tentative de soustraction suppose, contrairement à la soustraction consommée, qui peut être commise par négligence, un agissement intentionnel de l’auteur. Il faut donc que le contribuable ait agi avec conscience et volonté (cf. art. 12 al. 2 CP, applicable par renvoi combiné des art. 333 al. 1 et 104 CP). Le dol éventuel suffit pour retenir l’intention. Il n’est toutefois pas aisé de distinguer le dol éventuel de la négligence consciente. Il y a dol éventuel lorsque l’auteur envisage le résultat dommageable, mais agit néanmoins, même s’il ne le souhaite pas, parce qu’il s’en accommode pour le cas où il se produirait (ATF 135 IV 152 consid. 2.3.2).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(ATF 133 IV 9 consid. 4.1). Selon la jurisprudence constante, la preuve d’un comportement intentionnel en relation avec une tentative de soustraction fiscale doit être considérée comme apportée lorsqu’il est établi de façon suffisamment sûre que le contribuable était conscient que les informations données étaient incorrectes ou incomplètes, ce qui doit s’établir en fonction du comportement de l’intéressé dans son ensemble lors de la déclaration. Si tel est le cas, il faut présumer que le contribuable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(arrêt du Tribunal fédéral 2C_81/2022, 2C_102/2022 précité consid. 10.2 et les références citées).</w:t>
      </w:r>
    </w:p>
    <w:p>
      <w:r>
        <w:t>- 14 -</w:t>
      </w:r>
    </w:p>
    <w:p>
      <w:r>
        <w:rPr>
          <w:b/>
        </w:rPr>
        <w:t>E. 3.2.1</w:t>
      </w:r>
    </w:p>
    <w:p>
      <w:r>
        <w:t>Le recourant conteste la réalisation des éléments constitutifs objectifs de la tentative de soustraction fiscale. A son sens, l’on pourrait tout au plus lui reprocher de s’être livré à de l’évasion fiscale non punissable (sur cette notion, cf. p. ex. ATF 142 II 399 consid. 4.2), à l’exclusion de l’infraction retenue à son encontre. Il soutient avoir transmis au SCC tous les documents nécessaires à son imposition 2016 et lui avoir exposé la situation telle qu’elle se présentait effectivement, sans dissimulation aucune. Cette argumentation ne résiste pas à l’examen. En ne mentionnant pas ses avoirs du 2ème pilier et ses comptes de 3ème pilier A dans le formulaire de la C _________, le recourant a dissimulé des faits qui ont conduit cette caisse à reconnaître une lacune de prévoyance en réalité inexistante et à permettre un rachat d’années de cotisation de 214'342 fr. indu (cf. art. 1 al. 3, 79b LPP et 60a al. 2 et 3 OPP 2 dans leur teneur en vigueur jusqu’au 31 décembre 2016). Le recourant s’est ensuite prévalu de ce rachat indu pour revendiquer une déduction fiscale à laquelle il n’avait pas droit (cf. RICHNER/FREI/KAUFMANN/ROHNER, Handkommentar zum DBG, 4ème éd. 2023, n. 88 ad art. 33 DBG ; HUNZIKER/MAYER-KNOBEL, in : ZWEIFEL/BEUSCH [édit.], Bundesgesetz über die direkte Bundessteuer (DBG), 4ème éd. 2022, n. 23, 24 et 24a ad art. 33 DBG). Par cette opération en deux temps, le recourant a donc non seulement violé son obligation de renseigner sa nouvelle institution de prévoyance sur les conséquents avoirs de 2ème pilier et de 3ème pilier A dont il disposait (cf. les art. 4 al. 2bis let. b LFLP et 60a al. 2 OPP 2 dans sa teneur en vigueur jusqu’au 31 décembre 2016), mais a également fourni, dans sa déclaration d’impôt 2016, des renseignements inexacts quant au rachat effectué et ce faisant, a sollicité une déduction indue, comportement qui relève objectivement d’une (tentative) de soustraction fiscale (cf. LAFFELY MAILLARD, in : AUBRY GIRARDIN/NOËL [édit.], Commentaire de la LIFD, 2ème éd. 2017, n. 61 ad art. 33 LIFD). L’argument selon lequel le formulaire de 2015 n’avait plus aucune valeur lorsque le recourant a procédé au rachat litigieux dans la mesure où il avait, dans l’intervalle, retiré son capital de prévoyance auprès de A _________, tombe également à faux. Ainsi que la C _________ l’a clairement confirmé (cf. supra consid. C.a), un tel retrait n’a pas induit de lacune de prévoyance susceptible de justifier le rachat litigieux et donc la déduction fiscale que le recourant a revendiquée. Les prestations de retraite anticipée versées par son ancienne institution de prévoyance constituaient, au contraire, un avoir de prévoyance au sens de l’art. 60a OPP 2 qui aurait dû et aurait été pris en compte pour le calcul du montant des rachats possibles, si le recourant en avait signalé l’existence après les avoir perçues (cf. OFAS, Bulletin de la prévoyance professionnelle n° 97, du</w:t>
      </w:r>
    </w:p>
    <w:p>
      <w:r>
        <w:t>- 15 - 15 février 2007, ch. 568 ; HABEGGER, La planification de la prévoyance compte tenu des aspects fiscaux, in : TREX 2022 p. 148 ss, p. 149 ; LAFFELY MAILLARD, in : AUBRY GIRARDIN/NOËL [édit.], Commentaire de la LIFD, 2ème éd. 2017, n. 60 ad art. 33 LIFD ; SCHNEIDER/MERLINO/MANGE, in : SCHNEIDER/GEISER/GÄCHTER [édit.], Commentaire de la LPP et LFLP, 2ème éd. 2020, n. 33 ad art. 79b LPP). Il résulte de ce qui précède que l’élément objectif de la tentative de soustraction fiscale est réalisé.</w:t>
      </w:r>
    </w:p>
    <w:p>
      <w:r>
        <w:rPr>
          <w:b/>
        </w:rPr>
        <w:t>E. 3.2.2</w:t>
      </w:r>
    </w:p>
    <w:p>
      <w:r>
        <w:t>Reste à déterminer si, sur le plan subjectif, le recourant a agi intentionnellement ou à tout le moins par dol éventuel, ce qu’il conteste également. Sur ce point, il convient de relever que l’obligation pour un assuré de transférer ses avoirs du 2ème pilier dans sa nouvelle institution de prévoyance (art. 4 al. 2bis LFLP), comme celle de prendre en compte ses avoirs de 3ème pilier A pour la détermination de ses prestations de rachat facultatives (art. 60a OPP 2), étaient explicitement rappelées en tête du formulaire de renseignements transmis par sa nouvelle caisse de pension (cf. supra consid. A.b). Dans ces conditions, l’on ne conçoit pas que le recourant ait pu se méprendre sur la portée des explications fournies et répondre par la négative aux questions, parfaitement claires, qui lui étaient posées quant à l’existence de tels avoirs. La thèse du recourant selon laquelle il n’aurait pas compris les interactions existant entre ses avoirs du 2ème pilier constitués lorsqu’il était indépendant, ceux qu’il entendait constituer auprès de sa nouvelle caisse et ses trois comptes de 3ème pilier A n’apparaît pas crédible. A la tête, durant plusieurs années, d’une entreprise individuelle employant du personnel, puis administrateur unique d’une société anonyme, le recourant devait nécessairement connaître et comprendre, à tout le moins dans les grandes lignes, le système des trois piliers et les différences de régime existant entre un travailleur indépendant et un travailleur salarié. L’on relèvera que le recourant a lui-même concédé avoir « toujours eu peur de ne pas pouvoir assurer correctement [sa] retraite » (p. 166 du dossier du TC, réponse à la Q33). Or, celui qui se préoccupe pareillement de sa retraite doit aussi s’efforcer d’agir correctement. La prétendue ignorance du recourant dans le domaine n’emporte d’ailleurs pas la conviction, tant les notions d’AVS, de 2ème et de 3ème pilier sont connues de n’importe quel entrepreneur, y compris ceux qui, comme lui, choisissent de déléguer la gestion administrative et comptable de leur entreprise à un conjoint et/ou une fiduciaire en raison d’un prétendu manque de compétences en la matière. Sa ligne de défense est d’autant moins convaincante que le recourant a indiqué, tant au stade de sa réclamation qu’en audience, avoir consulté des professionnels des assurances pour chaque opération afférente à sa prévoyance ou s’en être remis à eux.</w:t>
      </w:r>
    </w:p>
    <w:p>
      <w:r>
        <w:t>- 16 - Or, il est pour le moins contradictoire et surprenant que, tout en prétendant ne rien comprendre aux explications et questions du formulaire de la C _________ (P. 167 du dossier du TC, réponses aux Q25 et 26), le recourant ait pris le risque de remplir ce document sans recourir aux conseils de personnes compétentes dont il savait, pourtant, s’entourer pour tout autre question jugée complexe. Cela étant, force est de retenir qu’il ne pouvait raisonnablement échapper au recourant, à la lecture du formulaire de la C _________, que ses substantiels avoirs de prévoyance pouvaient, d’une manière ou d’une autre, influencer ses possibilités de rachats ultérieurs. Il sied ainsi d’admettre qu’il a sciemment pris le parti de les passer totalement sous silence pour pouvoir procéder à des rachats indus et se procurer un avantage fiscal injustifié. A tout le moins, le recourant s’est-t-il accommodé d’un tel résultat au cas où celui-ci se produirait, commettant ainsi une tentative de soustraction fiscale par dol éventuel. L’on voit d’ailleurs mal dans quel autre but que celui d’obtenir une possibilité de rachat indue et une significative économie (potentielle) d’impôts le recourant aurait agi de la sorte. Le recourant assure certes qu’il ne visait qu’à améliorer sa prévoyance professionnelle. Cependant, peu de temps avant qu’il ne procède au rachat litigieux, sa caisse A _________ venait de lui verser une prestation en capital de 2'071'726 fr. 85. Il est dès lors exclu de considérer que le recourant ait pu véritablement croire que sa prévoyance professionnelle accusait des lacunes l’autorisant à procéder au rachat litigieux, puis à en revendiquer la déduction. La jurisprudence en matière d’évasion fiscale citée par le recourant (cf. par ex. l’arrêt du Tribunal fédéral 2C_652/2018 du 14 mai 2020) ne lui est, au surplus, d’aucun secours, dans la mesure où la légalité du retrait de la prestation en capital de 2'072'726 fr. 85 n’est, en elle-même, pas litigieuse. Ce qui est en revanche reproché au recourant, c’est de n’avoir pas signalé ses avoirs et leur retrait à la C _________ en 2015, puis en 2016, lorsqu’il a sollicité un nouveau calcul de ses possibilités de rachat. Le recourant a passé sous silence l’existence de ses substantiels avoirs de prévoyance et s’est par là même ménagé la possibilité de procéder à un second rachat, indu, qu’il a ensuite fait valoir en diminution de ses revenus imposables.</w:t>
      </w:r>
    </w:p>
    <w:p>
      <w:r>
        <w:rPr>
          <w:b/>
        </w:rPr>
        <w:t>E. 3.3</w:t>
      </w:r>
    </w:p>
    <w:p>
      <w:r>
        <w:t>S’agissant de la quotité de l’amende, l’autorité attaquée l’a fixée à 100% de l’impôt soustrait, ce qui est finalement critiqué par le recourant.</w:t>
      </w:r>
    </w:p>
    <w:p>
      <w:r>
        <w:rPr>
          <w:b/>
        </w:rPr>
        <w:t>E. 3.3.1</w:t>
      </w:r>
    </w:p>
    <w:p>
      <w:r>
        <w:t>Selon l’art. 176 al. 2 LIFD, l’amende pour tentative de soustraction fiscale est en règle générale fixée aux deux tiers de la peine qui serait infligée si la soustraction avait été commise intentionnellement et consommée. En cas de soustraction fiscale, l’amende est en règle générale fixée à la hauteur du montant de l’impôt soustrait. Si la faute est légère, l’amende peut être réduite jusqu’au tiers de ce montant ; si la faute est grave,</w:t>
      </w:r>
    </w:p>
    <w:p>
      <w:r>
        <w:t>- 17 - elle peut au plus être triplée (art. 175 al. 2 LIFD). En droit pénal fiscal, les éléments principaux à prendre en considération à cet égard sont le montant de l’impôt éludé, la manière de procéder du contribuable, ses motivations, ainsi que ses circonstances personnelles et économiques (cf. p. ex. arrêt du Tribunal fédéral 2C_149/2022 du 13 octobre 2022 consid. 6.3.2). L’atténuation schématique de la peine prévue par la loi pour la tentative de soustraction est une lex specialis en matière de droit pénal fiscal qui exclut une atténuation de peine plus importante sur la base de l’art. 22 CP (ATF 114 Ib 27 consid. 8a ; ZWEIFEL/OESTERHELT/OPEL/SEILER, Schweizerisches Steuerstrafrecht, Zurich 2025, n. 185a ad § 14). Cela ne signifie toutefois pas qu’une atténuation de la peine en raison d’un désistement ou d’un repentir actif au sens de l’art. 23 al. 1 CP ne peut pas entrer en ligne de compte (ZWEIFEL/OESTERHELT/OPEL/SEILER, op. cit., n. 186 ad § 14 ; RICHNER/FREI/KAUFMANN/ROHNER, op. cit., n. 11 ad art. 176 DBG).</w:t>
      </w:r>
    </w:p>
    <w:p>
      <w:r>
        <w:rPr>
          <w:b/>
        </w:rPr>
        <w:t>E. 3.3.2</w:t>
      </w:r>
    </w:p>
    <w:p>
      <w:r>
        <w:t>En l’espèce, l’autorité précédente a confirmé l’amende fixée à hauteur du 100% du montant d’impôt dont la soustraction a été tentée (soit 150% x 2/3). Elle a ainsi prononcé une peine plus lourde que celle normalement prévue en cas de tentative de soustraction fiscale. Sur ce point, elle a expliqué que la faute du recourant « ne [pouvait] pas être qualifiée de légère au vu de l’erreur commise et de l’importance du montant d’impôt soustrait ». Cette motivation lapidaire et générique est toutefois insuffisante pour justifier une aggravation de peine. Si elle ne peut en effet être qualifiée de légère, la faute du recourant ne revêt pas non plus un degré de gravité justifiant d’alourdir la sanction prévue en cas de tentative de soustraction fiscale dans la mesure décidée par l’autorité intimée. Il doit être par ailleurs tenu compte du fait que le recourant n’a pas d’antécédents à teneur du dossier ainsi que de sa pleine collaboration. Ainsi, au regard de l’ensemble des circonstances pertinentes, la peine infligée au recourant apparaît trop sévère et procède d’un abus du pouvoir d’appréciation. Il convient donc de la réduire pour l’arrêter au 2/3 du 100 % du montant de l’impôt soustrait, calcul à la portée du recourant, qui est assisté par un mandataire professionnel. En conséquence, l’amende pour l’IFD est ramenée à 15'614 francs (23'421 fr. x 2/3). IV. Impôts cantonaux et communaux</w:t>
      </w:r>
    </w:p>
    <w:p>
      <w:r>
        <w:rPr>
          <w:b/>
        </w:rPr>
        <w:t>E. 4</w:t>
      </w:r>
    </w:p>
    <w:p>
      <w:r>
        <w:t>Les règles de la LHID et de la LF applicables à la tentative de soustraction d’impôt et à la quotité de l’amende (art. 56 al. 2 LHID et 204 LF) sont semblables à celles de la LIFD, de sorte que les considérations développées pour l’IFD s’appliquent aussi à l’ICC (cf. arrêt du Tribunal fédéral 2C_908/2011, 2C_909/2011, 2C_912/2011 du 23 avril 2012 consid. 4). Pour les motifs évoqués au considérant précédent, les amendes seront donc</w:t>
      </w:r>
    </w:p>
    <w:p>
      <w:r>
        <w:t>- 18 - fixées à 21’188 fr. pour l’impôt cantonal (31'783 fr. x 2/3) et à 17'058 fr. pour l’impôt communal (25'588 fr. x 2/3). V. Conclusion, frais et dépens</w:t>
      </w:r>
    </w:p>
    <w:p>
      <w:r>
        <w:rPr>
          <w:b/>
        </w:rPr>
        <w:t>E. 5.1</w:t>
      </w:r>
    </w:p>
    <w:p>
      <w:r>
        <w:t>Attendu ce qui précède, le recours est partiellement admis tant en matière d’IFD que d’ICC dans la mesure où il est recevable. La décision attaquée est réformée en ce sens que le montant des amendes est fixé à 15'614 fr. pour l’IFD, à 21’188 fr. pour l’impôt cantonal et à 17'058 fr. pour l’impôt communal (art. 150 al. 3 LF ; art. 80 al. 1 let. e et 60 al. 1 LPJA). Le recours est pour le reste rejeté.</w:t>
      </w:r>
    </w:p>
    <w:p>
      <w:r>
        <w:rPr>
          <w:b/>
        </w:rPr>
        <w:t>E. 5.2</w:t>
      </w:r>
    </w:p>
    <w:p>
      <w:r>
        <w:t>Le recourant, qui n’obtient que partiellement gain de cause, supportera des frais de justice réduits qu’il convient de fixer, principalement sur le vu des principes de la couverture des frais et de l’équivalence des prestations, à 1600 fr. (art. 144 LIFD ; art. 8 LALIFD ; art. 150 al. 3 LF ; art. 89 al. 1 LPJA ; art. 3 al. 3, 11, 13 al. 1 et 25 LTar). Il n’y a pas d’autres frais (art. 89 al. 4 LPJA).</w:t>
      </w:r>
    </w:p>
    <w:p>
      <w:r>
        <w:rPr>
          <w:b/>
        </w:rPr>
        <w:t>E. 5.3</w:t>
      </w:r>
    </w:p>
    <w:p>
      <w:r>
        <w:t>Obtenant partiellement gain de cause et ayant pris une conclusion en ce sens, le recourant a droit à des dépens réduits à charge du fisc (art. 144 al. 4 LIFD et 64 al. 1 PA par renvoi de l’art. 182 al. 3 LIFD ; art. 8 al. 2 LALIFD ; art. 150 al. 3 LF et 91 al. 1 LPJA).</w:t>
      </w:r>
    </w:p>
    <w:p>
      <w:r>
        <w:rPr>
          <w:b/>
        </w:rPr>
        <w:t>E. 5.3.1</w:t>
      </w:r>
    </w:p>
    <w:p>
      <w:r>
        <w:t>Les frais du conseil juridique comprennent les honoraires, calculés selon les articles 27 et suivants LTar, auxquels s'ajoutent les débours (art. 4 al. 3 LTar). Aux termes de l’art. 27 al. 1 LTar, les honoraires sont fixés entre un minimum et un maximum prévus par la loi, d'après la nature et l'importance de la cause, ses difficultés, l'ampleur du travail, le temps utilement consacré par le conseil juridique et la situation financière de la partie. Pour la procédure de recours de droit administratif, ils oscillent entre 1100 fr. et 11'000 fr., sauf circonstances particulières (art. 29 al. 1 et 2 LTar). La LTar pose le principe de l'évaluation globale des dépens (art. 4 al. 1 et art. 27 al. 4 LTar). L’autorité dispose dans ce cadre d’un large pouvoir d'appréciation qu’elle doit néanmoins exercer dans les limites fixées par la loi (ATF 143 I 227 consid. 4.3.3). Le montant des honoraires du conseil juridique doit être évalué sur la base d'une pondération des critères que cite l’art. 27 al. 1 LTar. Comme le permet la jurisprudence (ATF 141 I 124 consid. 4.3), la rémunération que prévoit la LTar est donc fixée sur la base d’un forfait et non en fonction d’un tarif horaire (RVJ 2012 p. 210 consid. 5.1). Il résulte de l’art. 27 LTar que le temps consacré par l’avocat ne constitue que l’un des critères à prendre en considération, ce qui explique la différence qui peut exister entre le montant des dépens fixés et les honoraires effectivement perçus par le mandataire professionnel (arrêt du Tribunal</w:t>
      </w:r>
    </w:p>
    <w:p>
      <w:r>
        <w:t>- 19 - fédéral 1C_170/2014 du 10 décembre 2014 consid. 3.2 ; ACDP A1 21 267 du 4 décembre 2024 consid. 2.3.2). Si l’art. 5 al. 2 LTar prévoit la faculté de déposer un décompte de prestations, ce dernier ne lie cependant pas l’autorité de recours ou le juge. Les frais résultant de démarches inutiles ou superflues ne sont en particulier pas pris en considération au moment de la fixation de l’indemnité de dépens. Il en va de même des activités de nature administrative, comme la transmission de pièces ou de copies, les brefs contacts téléphoniques, l’établissement de télécopies ou de brèves correspondances, telles celles nécessitant environ cinq minutes de travail (ACDP A1 21 267 précité consid. 2.3.2), l’ouverture du dossier, les « courriels/mails avec le client » et l’établissement de la note d’honoraires, car ces frais font partie des frais généraux d’une étude et sont compris dans les honoraires d’avocat (ACDP A1 22 123 du 5 avril 2023 consid. 2.3.3).</w:t>
      </w:r>
    </w:p>
    <w:p>
      <w:r>
        <w:rPr>
          <w:b/>
        </w:rPr>
        <w:t>E. 5.3.2</w:t>
      </w:r>
    </w:p>
    <w:p>
      <w:r>
        <w:t>L’avocate du recourant, qui n’est pas commise d’office, a déposé en audience un décompte LTar listant des opérations effectuées entre le 11 avril 2023 – la décision sur réclamation date du 27 juin 2023 – et le 20 novembre 2025 et faisant état de quelque 29 h 30 au tarif horaire de 350 fr. (TVA non comprise), ainsi que de 167 fr. 40 (TVA non comprise) de frais divers. En l’espèce, le Tribunal constate que la cause ne revêtait pas de complexité particulière. Il s’agissait en effet d’appliquer la notion classique de tentative de soustraction fiscale à un complexe de faits qui n’était pas contesté. L’avocate du recourant a rédigé un mémoire de recours de seize pages auquel elle a indiqué avoir consacré 8 heures ainsi qu’une détermination complémentaire de quatre pages auquel elle indique avoir consacré 1 h 55 (incluant des recherches juridiques complémentaires). S’ajoute sa participation à une audience d’environ 2 heures, dont elle chiffre la préparation à 4h45 pour l’établissement d’un questionnaire et de ses plaidoiries. De telles opérations étaient certes dictées par le mandat, mais le temps qui leur a été consacré – 16h40 au total – est excessif, étant précisé que les différents courriels adressés au recourant ou à sa fiduciaire sont, conformément aux principes exposés ci- dessus, compris dans les honoraires, tout comme les appels téléphoniques. En définitive, au vu l’admission seulement partielle du recours et au vu de l’activité utilement déployée par Maître Y _________ et des autres critères énoncés à l’art. 27 LTar, notamment l’importance, relative, de la cause et son absence de difficulté particulière, il se justifie d’allouer une indemnité forfaitaire de dépens réduits de 900 fr. (TVA comprise) au recourant. A cette somme s’ajoutent les débours justifiés et fixés selon les critères applicables, à savoir à 0,50 cts l’unité pour les frais de copie (cf. ATF 118 Ib 349 consid. 5a) et le tarif postal officiel pour les frais de port. Ces débours sont arrêtés, au regard du décompte, à 50 francs.</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